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0" w:rsidRPr="00956011" w:rsidRDefault="00956011">
      <w:pPr>
        <w:rPr>
          <w:sz w:val="28"/>
          <w:szCs w:val="28"/>
        </w:rPr>
      </w:pPr>
      <w:r w:rsidRPr="00956011">
        <w:rPr>
          <w:sz w:val="28"/>
          <w:szCs w:val="28"/>
        </w:rPr>
        <w:t>НАСТОИ. Для их получения соответственно измельченный растительный материал помещают в заранее прогретую посуду, обливают надлежащим количеством горячей кипяченой воды, закрывают крышкой и нагревают на кипящей водяной бане в течение 15 минут. Затем настой снимают и охлаждают не менее 45 минут. Остывшую вытяжку процеживают (извлеченный растительный материал отжимают). Проверяют объем полученной вытяжки и в случае необходимости доливают до прописанного объема остуженной кипяченой водой.</w:t>
      </w:r>
    </w:p>
    <w:sectPr w:rsidR="00A605C0" w:rsidRPr="0095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6011"/>
    <w:rsid w:val="00956011"/>
    <w:rsid w:val="00A6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2011-12-25T17:18:00Z</dcterms:created>
  <dcterms:modified xsi:type="dcterms:W3CDTF">2011-12-25T17:19:00Z</dcterms:modified>
</cp:coreProperties>
</file>